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19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17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производства, объекты транспортной инфраструктуры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19533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»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202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82236">
        <w:rPr>
          <w:rFonts w:ascii="Times New Roman" w:hAnsi="Times New Roman" w:cs="Times New Roman"/>
          <w:sz w:val="24"/>
          <w:szCs w:val="24"/>
        </w:rPr>
        <w:t>18 марта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82236">
        <w:rPr>
          <w:rFonts w:ascii="Times New Roman" w:hAnsi="Times New Roman" w:cs="Times New Roman"/>
          <w:bCs/>
          <w:sz w:val="24"/>
          <w:szCs w:val="24"/>
        </w:rPr>
        <w:t>16 марта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020830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1917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производства, объекты транспортной инфраструктуры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82236">
        <w:rPr>
          <w:rFonts w:ascii="Times New Roman" w:hAnsi="Times New Roman" w:cs="Times New Roman"/>
          <w:bCs/>
          <w:i/>
          <w:sz w:val="24"/>
          <w:szCs w:val="24"/>
        </w:rPr>
        <w:t xml:space="preserve">19533 </w:t>
      </w:r>
      <w:r w:rsidR="00C822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C8223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C8223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C8223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вблизи СНТ «</w:t>
      </w:r>
      <w:proofErr w:type="spellStart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>Ефремово</w:t>
      </w:r>
      <w:proofErr w:type="spellEnd"/>
      <w:r w:rsidR="00C822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»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82236">
        <w:rPr>
          <w:rFonts w:ascii="Times New Roman" w:hAnsi="Times New Roman" w:cs="Times New Roman"/>
          <w:sz w:val="24"/>
          <w:szCs w:val="24"/>
        </w:rPr>
        <w:t>12000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82236">
        <w:rPr>
          <w:rFonts w:ascii="Times New Roman" w:hAnsi="Times New Roman" w:cs="Times New Roman"/>
          <w:sz w:val="24"/>
          <w:szCs w:val="24"/>
        </w:rPr>
        <w:t xml:space="preserve">двенадцать </w:t>
      </w:r>
      <w:r w:rsidR="00D202D4">
        <w:rPr>
          <w:rFonts w:ascii="Times New Roman" w:hAnsi="Times New Roman" w:cs="Times New Roman"/>
          <w:sz w:val="24"/>
          <w:szCs w:val="24"/>
        </w:rPr>
        <w:t>тысяч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236">
        <w:rPr>
          <w:rFonts w:ascii="Times New Roman" w:hAnsi="Times New Roman" w:cs="Times New Roman"/>
          <w:bCs/>
          <w:sz w:val="24"/>
          <w:szCs w:val="24"/>
        </w:rPr>
        <w:t>360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82236">
        <w:rPr>
          <w:rFonts w:ascii="Times New Roman" w:hAnsi="Times New Roman" w:cs="Times New Roman"/>
          <w:sz w:val="24"/>
          <w:szCs w:val="24"/>
        </w:rPr>
        <w:t>триста шестьдесят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D202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361A07" w:rsidRPr="00C40004" w:rsidRDefault="00C82236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04.03.2020</w:t>
            </w:r>
          </w:p>
          <w:p w:rsidR="00361A07" w:rsidRPr="00C40004" w:rsidRDefault="00361A07" w:rsidP="00C8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Default="00C82236" w:rsidP="00387D9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Скопинцев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  <w:p w:rsidR="00387D9C" w:rsidRPr="003951D2" w:rsidRDefault="00387D9C" w:rsidP="00387D9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C82236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3951D2" w:rsidRPr="00C40004" w:rsidRDefault="00C82236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13.03.2020</w:t>
            </w:r>
          </w:p>
          <w:p w:rsidR="003951D2" w:rsidRPr="00C40004" w:rsidRDefault="003951D2" w:rsidP="00C8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C82236" w:rsidP="00387D9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7460E0" w:rsidP="00E30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94C8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7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0E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7460E0" w:rsidP="00387D9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Скопинцев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7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0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7460E0" w:rsidP="00387D9C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141D67"/>
    <w:rsid w:val="00176300"/>
    <w:rsid w:val="0018524E"/>
    <w:rsid w:val="001B2426"/>
    <w:rsid w:val="001B6A23"/>
    <w:rsid w:val="0020380C"/>
    <w:rsid w:val="00361A07"/>
    <w:rsid w:val="00387D9C"/>
    <w:rsid w:val="003951D2"/>
    <w:rsid w:val="00416797"/>
    <w:rsid w:val="00443E4F"/>
    <w:rsid w:val="004A1017"/>
    <w:rsid w:val="005065D7"/>
    <w:rsid w:val="005F7255"/>
    <w:rsid w:val="006346FE"/>
    <w:rsid w:val="007114CB"/>
    <w:rsid w:val="007460E0"/>
    <w:rsid w:val="0075723D"/>
    <w:rsid w:val="007940F7"/>
    <w:rsid w:val="007D00C7"/>
    <w:rsid w:val="00821287"/>
    <w:rsid w:val="0084083E"/>
    <w:rsid w:val="00860C08"/>
    <w:rsid w:val="008D04D3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5D25"/>
    <w:rsid w:val="00C82236"/>
    <w:rsid w:val="00CA6E6E"/>
    <w:rsid w:val="00CF3DBF"/>
    <w:rsid w:val="00D202D4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8634E-885F-4625-99A8-07F750D4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2020-03-18T05:15:00Z</cp:lastPrinted>
  <dcterms:created xsi:type="dcterms:W3CDTF">2020-03-18T05:16:00Z</dcterms:created>
  <dcterms:modified xsi:type="dcterms:W3CDTF">2020-03-18T05:16:00Z</dcterms:modified>
</cp:coreProperties>
</file>