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1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.03.2018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13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BA0137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A466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r w:rsidR="00BA0137">
              <w:rPr>
                <w:rFonts w:ascii="Times New Roman" w:hAnsi="Times New Roman" w:cs="Times New Roman"/>
                <w:bCs/>
                <w:sz w:val="20"/>
                <w:szCs w:val="20"/>
              </w:rPr>
              <w:t>Дворищи, ул. Новая Слобода, д. 31</w:t>
            </w:r>
            <w:proofErr w:type="gram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BA0137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BA0137">
              <w:rPr>
                <w:rFonts w:ascii="Times New Roman" w:hAnsi="Times New Roman" w:cs="Times New Roman"/>
                <w:bCs/>
                <w:sz w:val="20"/>
                <w:szCs w:val="20"/>
              </w:rPr>
              <w:t>021209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BA0137">
              <w:rPr>
                <w:rFonts w:ascii="Times New Roman" w:hAnsi="Times New Roman" w:cs="Times New Roman"/>
                <w:bCs/>
                <w:sz w:val="20"/>
                <w:szCs w:val="20"/>
              </w:rPr>
              <w:t>735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BA0137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69000</w:t>
            </w:r>
            <w:r w:rsidR="009E2999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BA0137" w:rsidP="00A46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6900,00</w:t>
            </w:r>
            <w:r w:rsidR="009E29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BA0137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2070,00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BA0137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BA0137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01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01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013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12820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7207B"/>
    <w:rsid w:val="0058116F"/>
    <w:rsid w:val="00596A7C"/>
    <w:rsid w:val="005C54DA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8575B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67A9C"/>
    <w:rsid w:val="00983714"/>
    <w:rsid w:val="009C5793"/>
    <w:rsid w:val="009E2999"/>
    <w:rsid w:val="00A42E05"/>
    <w:rsid w:val="00A44C80"/>
    <w:rsid w:val="00A466FF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790C"/>
    <w:rsid w:val="00BA0137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85"/>
    <w:rsid w:val="00D9715C"/>
    <w:rsid w:val="00DB03F3"/>
    <w:rsid w:val="00DD790D"/>
    <w:rsid w:val="00E02912"/>
    <w:rsid w:val="00E25149"/>
    <w:rsid w:val="00E572CA"/>
    <w:rsid w:val="00E74C8E"/>
    <w:rsid w:val="00E84109"/>
    <w:rsid w:val="00E9713B"/>
    <w:rsid w:val="00ED409A"/>
    <w:rsid w:val="00F47705"/>
    <w:rsid w:val="00F60DF1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2018-03-28T06:33:00Z</cp:lastPrinted>
  <dcterms:created xsi:type="dcterms:W3CDTF">2018-03-27T09:44:00Z</dcterms:created>
  <dcterms:modified xsi:type="dcterms:W3CDTF">2018-03-29T12:42:00Z</dcterms:modified>
</cp:coreProperties>
</file>