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</w:t>
      </w:r>
      <w:r w:rsidR="004E627E" w:rsidRPr="00C532C0">
        <w:rPr>
          <w:rFonts w:ascii="Times New Roman" w:hAnsi="Times New Roman" w:cs="Times New Roman"/>
          <w:sz w:val="24"/>
          <w:szCs w:val="24"/>
        </w:rPr>
        <w:t xml:space="preserve">области  проводит </w:t>
      </w:r>
      <w:r w:rsidR="004E627E" w:rsidRPr="00C532C0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C532C0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C532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C532C0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C532C0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C532C0" w:rsidTr="00032D42">
        <w:tc>
          <w:tcPr>
            <w:tcW w:w="9743" w:type="dxa"/>
            <w:gridSpan w:val="2"/>
            <w:shd w:val="clear" w:color="auto" w:fill="auto"/>
          </w:tcPr>
          <w:p w:rsidR="004E627E" w:rsidRPr="00C532C0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C532C0" w:rsidTr="00032D42">
        <w:tc>
          <w:tcPr>
            <w:tcW w:w="3081" w:type="dxa"/>
            <w:shd w:val="clear" w:color="auto" w:fill="auto"/>
          </w:tcPr>
          <w:p w:rsidR="004E627E" w:rsidRPr="00C532C0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C532C0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C532C0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C532C0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C532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C532C0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C532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C532C0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32C0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C532C0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AE1A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="00AE1A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632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proofErr w:type="spellStart"/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Старово</w:t>
            </w:r>
            <w:proofErr w:type="spellEnd"/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, ул. Центральная, д.40а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632015">
              <w:rPr>
                <w:rFonts w:ascii="Times New Roman" w:hAnsi="Times New Roman" w:cs="Times New Roman"/>
                <w:sz w:val="20"/>
                <w:szCs w:val="20"/>
              </w:rPr>
              <w:t>1401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020617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421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632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2015">
              <w:rPr>
                <w:rFonts w:ascii="Times New Roman" w:hAnsi="Times New Roman" w:cs="Times New Roman"/>
                <w:bCs/>
                <w:sz w:val="20"/>
                <w:szCs w:val="20"/>
              </w:rPr>
              <w:t>318797,55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63201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31880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63201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9564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C532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532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 xml:space="preserve">заключения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>
        <w:rPr>
          <w:rFonts w:ascii="Times New Roman" w:hAnsi="Times New Roman" w:cs="Times New Roman"/>
          <w:sz w:val="24"/>
          <w:szCs w:val="24"/>
        </w:rPr>
        <w:t>купли-продажи</w:t>
      </w:r>
      <w:r w:rsidRPr="00180EBF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180EBF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2017-03-22T07:22:00Z</dcterms:created>
  <dcterms:modified xsi:type="dcterms:W3CDTF">2017-03-22T07:24:00Z</dcterms:modified>
</cp:coreProperties>
</file>