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6756E9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Д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М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Т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Ц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Ж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Ч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Г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 xml:space="preserve">  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Й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</w:t>
            </w:r>
            <w:r w:rsidR="00317D91">
              <w:rPr>
                <w:b/>
                <w:sz w:val="16"/>
                <w:szCs w:val="16"/>
              </w:rPr>
              <w:t xml:space="preserve"> </w:t>
            </w:r>
            <w:r w:rsidR="000A555E">
              <w:rPr>
                <w:b/>
                <w:sz w:val="16"/>
                <w:szCs w:val="16"/>
              </w:rPr>
              <w:t xml:space="preserve">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5A3CFC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5A3CFC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5A3CFC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5A3CFC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5A3CFC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5A3CFC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5A3CFC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5A3CFC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5A3CFC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Главному редактору</w:t>
            </w:r>
          </w:p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газеты «Красное знамя»</w:t>
            </w:r>
          </w:p>
          <w:p w:rsidR="002B0603" w:rsidRPr="000B33D9" w:rsidRDefault="004B49F9" w:rsidP="004B49F9">
            <w:pPr>
              <w:jc w:val="center"/>
              <w:rPr>
                <w:i/>
                <w:sz w:val="24"/>
              </w:rPr>
            </w:pPr>
            <w:r>
              <w:rPr>
                <w:sz w:val="28"/>
              </w:rPr>
              <w:t xml:space="preserve">   </w:t>
            </w:r>
            <w:r w:rsidRPr="004B49F9">
              <w:rPr>
                <w:sz w:val="28"/>
              </w:rPr>
              <w:t xml:space="preserve">В.Д. </w:t>
            </w:r>
            <w:proofErr w:type="spellStart"/>
            <w:r w:rsidRPr="004B49F9">
              <w:rPr>
                <w:sz w:val="28"/>
              </w:rPr>
              <w:t>Талтанову</w:t>
            </w:r>
            <w:proofErr w:type="spellEnd"/>
            <w:r w:rsidRPr="004B49F9">
              <w:rPr>
                <w:sz w:val="28"/>
              </w:rPr>
              <w:t xml:space="preserve"> </w:t>
            </w:r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4B49F9" w:rsidRDefault="004B49F9" w:rsidP="004B49F9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проведении аукциона</w:t>
            </w:r>
            <w:r w:rsidRPr="004B49F9">
              <w:rPr>
                <w:i/>
                <w:sz w:val="24"/>
              </w:rPr>
              <w:t xml:space="preserve"> 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6756E9" w:rsidRDefault="00A055F7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2748">
        <w:rPr>
          <w:sz w:val="28"/>
        </w:rPr>
        <w:t xml:space="preserve">                      </w:t>
      </w:r>
      <w:r w:rsidR="004B49F9">
        <w:rPr>
          <w:sz w:val="28"/>
        </w:rPr>
        <w:t xml:space="preserve">     </w:t>
      </w:r>
      <w:r w:rsidR="006756E9">
        <w:rPr>
          <w:sz w:val="28"/>
        </w:rPr>
        <w:t>Уважаемый Владимир Дмитриевич!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Администрации Киржачского района просит поместить информационное сообщение следующего содержания: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BD6F5D" w:rsidP="00BD6F5D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jc w:val="both"/>
              <w:rPr>
                <w:sz w:val="28"/>
              </w:rPr>
            </w:pPr>
            <w:r w:rsidRPr="009E0B11">
              <w:rPr>
                <w:sz w:val="28"/>
                <w:szCs w:val="28"/>
              </w:rPr>
              <w:t xml:space="preserve">здание </w:t>
            </w:r>
            <w:proofErr w:type="spellStart"/>
            <w:r w:rsidRPr="009E0B11">
              <w:rPr>
                <w:sz w:val="28"/>
                <w:szCs w:val="28"/>
              </w:rPr>
              <w:t>ФАПа</w:t>
            </w:r>
            <w:proofErr w:type="spellEnd"/>
            <w:r w:rsidRPr="009E0B11">
              <w:rPr>
                <w:sz w:val="28"/>
                <w:szCs w:val="28"/>
              </w:rPr>
              <w:t xml:space="preserve"> с земельным участком, расположенное по адресу: Владимирская область, район </w:t>
            </w:r>
            <w:proofErr w:type="spellStart"/>
            <w:r w:rsidRPr="009E0B11">
              <w:rPr>
                <w:sz w:val="28"/>
                <w:szCs w:val="28"/>
              </w:rPr>
              <w:t>Киржачский</w:t>
            </w:r>
            <w:proofErr w:type="spellEnd"/>
            <w:r w:rsidRPr="009E0B11">
              <w:rPr>
                <w:sz w:val="28"/>
                <w:szCs w:val="28"/>
              </w:rPr>
              <w:t xml:space="preserve">, МО </w:t>
            </w:r>
            <w:proofErr w:type="spellStart"/>
            <w:r w:rsidRPr="009E0B11">
              <w:rPr>
                <w:sz w:val="28"/>
                <w:szCs w:val="28"/>
              </w:rPr>
              <w:t>Першинское</w:t>
            </w:r>
            <w:proofErr w:type="spellEnd"/>
            <w:r w:rsidRPr="009E0B11">
              <w:rPr>
                <w:sz w:val="28"/>
                <w:szCs w:val="28"/>
              </w:rPr>
              <w:t xml:space="preserve"> (сельское поселение), д. Храпки, ул. Центральная д. 97а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0239F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Здание, назначение: лечебно-санаторное,  площадь – 45,9  кв.м.,  этажность: 1,  </w:t>
            </w:r>
            <w:r>
              <w:rPr>
                <w:sz w:val="28"/>
                <w:szCs w:val="28"/>
              </w:rPr>
              <w:t>фундамент ленточный кирпичный, кровля шифер, стены и их наружная отделка: бревенчатые, обшитые тесом</w:t>
            </w:r>
          </w:p>
        </w:tc>
      </w:tr>
      <w:tr w:rsidR="00BD6F5D" w:rsidRPr="00124F3F" w:rsidTr="003B6BDB">
        <w:tc>
          <w:tcPr>
            <w:tcW w:w="3364" w:type="dxa"/>
            <w:shd w:val="clear" w:color="auto" w:fill="auto"/>
          </w:tcPr>
          <w:p w:rsidR="00BD6F5D" w:rsidRPr="00124F3F" w:rsidRDefault="00BD6F5D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D6F5D" w:rsidRDefault="00BD6F5D" w:rsidP="009D4CC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земельный участок  из категории земель населенных пунктов,  разрешенное использование:  амбулаторно-поликлинические учреждения, общая площадь 1280 кв.м.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rPr>
                <w:sz w:val="28"/>
              </w:rPr>
            </w:pPr>
            <w:r>
              <w:rPr>
                <w:sz w:val="28"/>
              </w:rPr>
              <w:t xml:space="preserve">508 000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rPr>
                <w:sz w:val="28"/>
              </w:rPr>
            </w:pPr>
            <w:r>
              <w:rPr>
                <w:sz w:val="28"/>
              </w:rPr>
              <w:t xml:space="preserve">50 800 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rPr>
                <w:sz w:val="28"/>
              </w:rPr>
            </w:pPr>
            <w:r>
              <w:rPr>
                <w:sz w:val="28"/>
              </w:rPr>
              <w:t xml:space="preserve">25 400 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зарегистрировано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A82BC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 xml:space="preserve">Решение Совета народных депутатов от </w:t>
            </w:r>
            <w:r w:rsidR="00AF64EB" w:rsidRPr="00A82BCB">
              <w:rPr>
                <w:sz w:val="28"/>
              </w:rPr>
              <w:t>2</w:t>
            </w:r>
            <w:r w:rsidR="00A82BCB" w:rsidRPr="00A82BCB">
              <w:rPr>
                <w:sz w:val="28"/>
              </w:rPr>
              <w:t>8</w:t>
            </w:r>
            <w:r w:rsidR="00AF64EB" w:rsidRPr="00A82BCB">
              <w:rPr>
                <w:sz w:val="28"/>
              </w:rPr>
              <w:t>.0</w:t>
            </w:r>
            <w:r w:rsidR="00A82BCB" w:rsidRPr="00A82BCB">
              <w:rPr>
                <w:sz w:val="28"/>
              </w:rPr>
              <w:t>6</w:t>
            </w:r>
            <w:r w:rsidR="00AF64EB" w:rsidRPr="00A82BCB">
              <w:rPr>
                <w:sz w:val="28"/>
              </w:rPr>
              <w:t xml:space="preserve">.2013 № </w:t>
            </w:r>
            <w:r w:rsidR="00A82BCB" w:rsidRPr="00A82BCB">
              <w:rPr>
                <w:sz w:val="28"/>
              </w:rPr>
              <w:t>30</w:t>
            </w:r>
            <w:r w:rsidR="00AF64EB" w:rsidRPr="00A82BCB">
              <w:rPr>
                <w:sz w:val="28"/>
              </w:rPr>
              <w:t>/2</w:t>
            </w:r>
            <w:r w:rsidR="00A82BCB" w:rsidRPr="00A82BCB">
              <w:rPr>
                <w:sz w:val="28"/>
              </w:rPr>
              <w:t>7</w:t>
            </w:r>
            <w:r w:rsidR="00AF64EB" w:rsidRPr="00A82BCB">
              <w:rPr>
                <w:sz w:val="28"/>
              </w:rPr>
              <w:t>5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л/с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r w:rsidRPr="00124F3F">
              <w:rPr>
                <w:sz w:val="28"/>
              </w:rPr>
              <w:t>р</w:t>
            </w:r>
            <w:proofErr w:type="spell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л/с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r w:rsidRPr="00124F3F">
              <w:rPr>
                <w:sz w:val="28"/>
              </w:rPr>
              <w:t>р</w:t>
            </w:r>
            <w:proofErr w:type="spell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с даты подведения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3C6DEF" w:rsidRPr="003C6DEF" w:rsidRDefault="0069428D" w:rsidP="007D7DBB">
            <w:pPr>
              <w:pStyle w:val="ConsPlusNormal"/>
              <w:ind w:firstLine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92748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92748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.2013 года с 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F92748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-00 </w:t>
            </w:r>
            <w:r w:rsidR="003C6DEF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  <w:r w:rsidR="00F92748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2748" w:rsidRPr="006A1E22" w:rsidRDefault="00F92748" w:rsidP="007D7DB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997B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.2013 года  до  1</w:t>
            </w:r>
            <w:r w:rsidR="00997BF6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B49F9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0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3C6DEF" w:rsidRDefault="004B49F9" w:rsidP="003C6DEF">
            <w:pPr>
              <w:pStyle w:val="ConsPlusNormal"/>
              <w:ind w:firstLine="0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.2013 г.   в </w:t>
            </w:r>
            <w:r w:rsidR="003C6DEF"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-00 час. </w:t>
            </w:r>
            <w:r w:rsidRPr="003C6DEF">
              <w:rPr>
                <w:b/>
              </w:rPr>
              <w:t xml:space="preserve"> </w:t>
            </w:r>
          </w:p>
          <w:p w:rsidR="004B49F9" w:rsidRPr="006A1E22" w:rsidRDefault="004B49F9" w:rsidP="003C6D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3C6DEF" w:rsidRPr="006A1E22" w:rsidRDefault="004B49F9" w:rsidP="003C6DEF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3C6DEF" w:rsidP="007D7D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30.12.2013 г.</w:t>
            </w:r>
            <w:r w:rsidR="0092460D">
              <w:rPr>
                <w:b/>
                <w:sz w:val="28"/>
                <w:szCs w:val="28"/>
              </w:rPr>
              <w:t xml:space="preserve"> 10-00 час.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92460D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7D7DBB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 w:rsidR="0092460D">
              <w:rPr>
                <w:b/>
                <w:sz w:val="28"/>
              </w:rPr>
              <w:t>. 30.12.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Срок заключения договора </w:t>
            </w:r>
            <w:r w:rsidRPr="00124F3F">
              <w:rPr>
                <w:sz w:val="28"/>
              </w:rPr>
              <w:lastRenderedPageBreak/>
              <w:t>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Не ранее 10 рабочих дней и не позднее 15 рабочих </w:t>
            </w:r>
            <w:r w:rsidRPr="00124F3F">
              <w:rPr>
                <w:sz w:val="28"/>
              </w:rPr>
              <w:lastRenderedPageBreak/>
              <w:t>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заявка на участие в аукционе по установленной форме с указанием реквизитов счета для возврата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7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8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Оплату гарантируем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8800CD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</w:p>
    <w:p w:rsidR="00F842A3" w:rsidRDefault="00F842A3" w:rsidP="004B49F9">
      <w:pPr>
        <w:jc w:val="both"/>
        <w:rPr>
          <w:sz w:val="28"/>
        </w:rPr>
      </w:pPr>
    </w:p>
    <w:tbl>
      <w:tblPr>
        <w:tblW w:w="4965" w:type="pct"/>
        <w:tblInd w:w="-34" w:type="dxa"/>
        <w:tblLayout w:type="fixed"/>
        <w:tblLook w:val="0000"/>
      </w:tblPr>
      <w:tblGrid>
        <w:gridCol w:w="3807"/>
        <w:gridCol w:w="3242"/>
        <w:gridCol w:w="3242"/>
      </w:tblGrid>
      <w:tr w:rsidR="008800CD">
        <w:trPr>
          <w:trHeight w:val="1134"/>
        </w:trPr>
        <w:tc>
          <w:tcPr>
            <w:tcW w:w="3828" w:type="dxa"/>
          </w:tcPr>
          <w:p w:rsidR="008800CD" w:rsidRDefault="008800CD" w:rsidP="00625A5A">
            <w:pPr>
              <w:ind w:firstLine="176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</w:tc>
        <w:tc>
          <w:tcPr>
            <w:tcW w:w="3260" w:type="dxa"/>
          </w:tcPr>
          <w:p w:rsidR="008800CD" w:rsidRDefault="008800CD" w:rsidP="0078165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8800CD" w:rsidRDefault="00D11C12" w:rsidP="00D11C12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В.И. Седых</w:t>
            </w:r>
          </w:p>
        </w:tc>
      </w:tr>
    </w:tbl>
    <w:p w:rsidR="008800CD" w:rsidRDefault="008800CD">
      <w:pPr>
        <w:ind w:firstLine="567"/>
        <w:jc w:val="both"/>
        <w:rPr>
          <w:sz w:val="28"/>
        </w:rPr>
      </w:pPr>
    </w:p>
    <w:p w:rsidR="00775AF3" w:rsidRDefault="00775AF3">
      <w:pPr>
        <w:ind w:firstLine="567"/>
        <w:jc w:val="both"/>
        <w:rPr>
          <w:sz w:val="28"/>
        </w:rPr>
      </w:pPr>
    </w:p>
    <w:p w:rsidR="008800CD" w:rsidRDefault="006D399C" w:rsidP="00625A5A">
      <w:pPr>
        <w:tabs>
          <w:tab w:val="left" w:pos="4580"/>
        </w:tabs>
        <w:spacing w:line="360" w:lineRule="auto"/>
        <w:ind w:firstLine="142"/>
      </w:pPr>
      <w:r w:rsidRPr="006D399C">
        <w:t>[</w:t>
      </w:r>
      <w:r>
        <w:t xml:space="preserve">Исп. </w:t>
      </w:r>
      <w:r w:rsidR="004B49F9">
        <w:t>–</w:t>
      </w:r>
      <w:r>
        <w:t xml:space="preserve"> </w:t>
      </w:r>
      <w:r w:rsidR="0092460D">
        <w:t>Т.Е. Кириллов,</w:t>
      </w:r>
      <w:r w:rsidR="004B49F9">
        <w:t xml:space="preserve"> 23474</w:t>
      </w:r>
      <w:r w:rsidR="008800CD">
        <w:t>]</w:t>
      </w:r>
      <w:r w:rsidR="006807FF">
        <w:tab/>
      </w:r>
    </w:p>
    <w:sectPr w:rsidR="008800C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239FC"/>
    <w:rsid w:val="00031875"/>
    <w:rsid w:val="0005061E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6DEF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4E791B"/>
    <w:rsid w:val="00546DC9"/>
    <w:rsid w:val="00560213"/>
    <w:rsid w:val="005A3CFC"/>
    <w:rsid w:val="005D00CA"/>
    <w:rsid w:val="00604F74"/>
    <w:rsid w:val="00625A5A"/>
    <w:rsid w:val="006756E9"/>
    <w:rsid w:val="006807FF"/>
    <w:rsid w:val="00683E12"/>
    <w:rsid w:val="0069428D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7D7DBB"/>
    <w:rsid w:val="00803E25"/>
    <w:rsid w:val="008224B4"/>
    <w:rsid w:val="00824A46"/>
    <w:rsid w:val="0083021B"/>
    <w:rsid w:val="008508DA"/>
    <w:rsid w:val="008800CD"/>
    <w:rsid w:val="008F63C3"/>
    <w:rsid w:val="00907A11"/>
    <w:rsid w:val="0092460D"/>
    <w:rsid w:val="00936FEA"/>
    <w:rsid w:val="00982899"/>
    <w:rsid w:val="00997BF6"/>
    <w:rsid w:val="009D4CC3"/>
    <w:rsid w:val="009E338E"/>
    <w:rsid w:val="00A055F7"/>
    <w:rsid w:val="00A10D0D"/>
    <w:rsid w:val="00A17504"/>
    <w:rsid w:val="00A60310"/>
    <w:rsid w:val="00A82BCB"/>
    <w:rsid w:val="00AC05A0"/>
    <w:rsid w:val="00AC446F"/>
    <w:rsid w:val="00AF64EB"/>
    <w:rsid w:val="00B23F84"/>
    <w:rsid w:val="00B662A5"/>
    <w:rsid w:val="00BA15EC"/>
    <w:rsid w:val="00BA3E19"/>
    <w:rsid w:val="00BC35E0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C12"/>
    <w:rsid w:val="00D70D9C"/>
    <w:rsid w:val="00DE0F9E"/>
    <w:rsid w:val="00DE5F10"/>
    <w:rsid w:val="00DE6E2F"/>
    <w:rsid w:val="00E63F95"/>
    <w:rsid w:val="00EB6485"/>
    <w:rsid w:val="00ED7C20"/>
    <w:rsid w:val="00F42C4E"/>
    <w:rsid w:val="00F842A3"/>
    <w:rsid w:val="00F92748"/>
    <w:rsid w:val="00FC29A9"/>
    <w:rsid w:val="00FC4A99"/>
    <w:rsid w:val="00FE04F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B90A-1C04-40A2-919B-0197560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279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5813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15</cp:revision>
  <cp:lastPrinted>2013-11-05T05:24:00Z</cp:lastPrinted>
  <dcterms:created xsi:type="dcterms:W3CDTF">2013-04-03T05:24:00Z</dcterms:created>
  <dcterms:modified xsi:type="dcterms:W3CDTF">2013-11-05T06:43:00Z</dcterms:modified>
</cp:coreProperties>
</file>