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первый заместитель главы района, 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председатель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___________________А.Ф. Чибриков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3F25E1">
        <w:rPr>
          <w:b/>
          <w:sz w:val="28"/>
          <w:szCs w:val="28"/>
        </w:rPr>
        <w:t xml:space="preserve">здания </w:t>
      </w:r>
      <w:r w:rsidR="00A9469A">
        <w:rPr>
          <w:b/>
          <w:sz w:val="28"/>
          <w:szCs w:val="28"/>
        </w:rPr>
        <w:t>кинотеатра «Труд»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Pr="003F25E1" w:rsidRDefault="003474AA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7027"/>
      </w:tblGrid>
      <w:tr w:rsidR="00A9469A" w:rsidRPr="00A9469A" w:rsidTr="00CC3C5E">
        <w:tc>
          <w:tcPr>
            <w:tcW w:w="10632" w:type="dxa"/>
            <w:gridSpan w:val="2"/>
            <w:shd w:val="clear" w:color="auto" w:fill="auto"/>
          </w:tcPr>
          <w:p w:rsidR="00A9469A" w:rsidRPr="00A9469A" w:rsidRDefault="00A9469A" w:rsidP="00A9469A">
            <w:pPr>
              <w:jc w:val="center"/>
              <w:rPr>
                <w:b/>
              </w:rPr>
            </w:pPr>
            <w:r w:rsidRPr="00A9469A">
              <w:rPr>
                <w:b/>
                <w:sz w:val="22"/>
                <w:szCs w:val="22"/>
              </w:rPr>
              <w:t>ЛОТ №1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60"/>
              <w:jc w:val="both"/>
            </w:pPr>
            <w:r w:rsidRPr="00A9469A">
              <w:rPr>
                <w:sz w:val="22"/>
                <w:szCs w:val="22"/>
              </w:rPr>
              <w:t>Наименование, местоположение объекта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pPr>
              <w:ind w:left="94"/>
            </w:pPr>
            <w:r w:rsidRPr="00A9469A">
              <w:rPr>
                <w:sz w:val="22"/>
                <w:szCs w:val="22"/>
              </w:rPr>
              <w:t>Здание кинотеатра «Труд» с земельным участком, расположенное по адресу: г.Киржач, ул. Серегина, д.5.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60"/>
              <w:jc w:val="both"/>
            </w:pPr>
            <w:r w:rsidRPr="00A9469A">
              <w:rPr>
                <w:sz w:val="22"/>
                <w:szCs w:val="22"/>
              </w:rPr>
              <w:t>Краткая характеристика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pPr>
              <w:ind w:left="94"/>
            </w:pPr>
            <w:r w:rsidRPr="00A9469A">
              <w:rPr>
                <w:sz w:val="22"/>
                <w:szCs w:val="22"/>
              </w:rPr>
              <w:t>Здание кирпичное, кадастровый номер 33:36:000000:0000:1588:1000,  площадью 1073,9 кв</w:t>
            </w:r>
            <w:proofErr w:type="gramStart"/>
            <w:r w:rsidRPr="00A9469A">
              <w:rPr>
                <w:sz w:val="22"/>
                <w:szCs w:val="22"/>
              </w:rPr>
              <w:t>.м</w:t>
            </w:r>
            <w:proofErr w:type="gramEnd"/>
            <w:r w:rsidRPr="00A9469A">
              <w:rPr>
                <w:sz w:val="22"/>
                <w:szCs w:val="22"/>
              </w:rPr>
              <w:t>, этажность: 2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60"/>
              <w:jc w:val="both"/>
            </w:pPr>
            <w:r w:rsidRPr="00A9469A">
              <w:rPr>
                <w:sz w:val="22"/>
                <w:szCs w:val="22"/>
              </w:rPr>
              <w:t>Информация о земельном участке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pPr>
              <w:ind w:left="94"/>
            </w:pPr>
            <w:r w:rsidRPr="00A9469A">
              <w:rPr>
                <w:sz w:val="22"/>
                <w:szCs w:val="22"/>
              </w:rPr>
              <w:t>Земельный участок, категория земель: земли населенных пунктов с кадастровым номером  33:02:010107:0011, разрешенным использованием – под здание кинотеатра «Труд»,  площадь 2453 кв</w:t>
            </w:r>
            <w:proofErr w:type="gramStart"/>
            <w:r w:rsidRPr="00A9469A"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60"/>
              <w:jc w:val="both"/>
            </w:pPr>
            <w:r w:rsidRPr="00A9469A">
              <w:rPr>
                <w:sz w:val="22"/>
                <w:szCs w:val="22"/>
              </w:rPr>
              <w:t xml:space="preserve">Начальная цена 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r w:rsidRPr="00A9469A">
              <w:rPr>
                <w:sz w:val="22"/>
                <w:szCs w:val="22"/>
              </w:rPr>
              <w:t xml:space="preserve">  9 650 000 рублей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60"/>
              <w:jc w:val="both"/>
            </w:pPr>
            <w:r w:rsidRPr="00A9469A">
              <w:rPr>
                <w:sz w:val="22"/>
                <w:szCs w:val="22"/>
              </w:rPr>
              <w:t xml:space="preserve">Задаток 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r w:rsidRPr="00A9469A">
              <w:rPr>
                <w:sz w:val="22"/>
                <w:szCs w:val="22"/>
              </w:rPr>
              <w:t xml:space="preserve">  965 000 рублей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tabs>
                <w:tab w:val="left" w:pos="351"/>
              </w:tabs>
              <w:ind w:left="60"/>
            </w:pPr>
            <w:r w:rsidRPr="00A9469A">
              <w:rPr>
                <w:sz w:val="22"/>
                <w:szCs w:val="22"/>
              </w:rPr>
              <w:t>Шаг аукциона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r w:rsidRPr="00A9469A">
              <w:rPr>
                <w:sz w:val="22"/>
                <w:szCs w:val="22"/>
              </w:rPr>
              <w:t xml:space="preserve">  482 000 рублей</w:t>
            </w:r>
          </w:p>
        </w:tc>
      </w:tr>
      <w:tr w:rsidR="00A9469A" w:rsidRPr="00A9469A" w:rsidTr="00CC3C5E">
        <w:trPr>
          <w:trHeight w:val="607"/>
        </w:trPr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tabs>
                <w:tab w:val="left" w:pos="351"/>
              </w:tabs>
              <w:ind w:left="60"/>
            </w:pPr>
            <w:r w:rsidRPr="00A9469A">
              <w:rPr>
                <w:sz w:val="22"/>
                <w:szCs w:val="22"/>
              </w:rPr>
              <w:t>Обременения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r w:rsidRPr="00A9469A">
              <w:rPr>
                <w:sz w:val="22"/>
                <w:szCs w:val="22"/>
              </w:rPr>
              <w:t>Право на проживание физических лиц в помещениях, расположенных на 1 этаже литера по плану А</w:t>
            </w:r>
            <w:proofErr w:type="gramStart"/>
            <w:r w:rsidRPr="00A9469A">
              <w:rPr>
                <w:sz w:val="22"/>
                <w:szCs w:val="22"/>
              </w:rPr>
              <w:t>2</w:t>
            </w:r>
            <w:proofErr w:type="gramEnd"/>
            <w:r w:rsidRPr="00A9469A">
              <w:rPr>
                <w:sz w:val="22"/>
                <w:szCs w:val="22"/>
              </w:rPr>
              <w:t xml:space="preserve">, номера комнат по плану 4,5,6.    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tabs>
                <w:tab w:val="left" w:pos="351"/>
              </w:tabs>
              <w:ind w:left="60"/>
            </w:pPr>
            <w:r w:rsidRPr="00A9469A">
              <w:rPr>
                <w:sz w:val="22"/>
                <w:szCs w:val="22"/>
              </w:rPr>
              <w:t>Реквизиты решения об условиях приватизации имущества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r w:rsidRPr="00A9469A">
              <w:rPr>
                <w:sz w:val="22"/>
                <w:szCs w:val="22"/>
              </w:rPr>
              <w:t xml:space="preserve">  Решение Совета народных депутатов от 30.05.2012      № 17/132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tabs>
                <w:tab w:val="left" w:pos="351"/>
              </w:tabs>
              <w:ind w:left="60"/>
            </w:pPr>
            <w:r w:rsidRPr="00A9469A">
              <w:rPr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3474AA">
            <w:r w:rsidRPr="00A9469A">
              <w:rPr>
                <w:sz w:val="22"/>
                <w:szCs w:val="22"/>
              </w:rPr>
              <w:t xml:space="preserve">Физические лица, проживающие в помещении, стоят в очереди по улучшению жилищных условий </w:t>
            </w:r>
          </w:p>
        </w:tc>
      </w:tr>
      <w:tr w:rsidR="00A9469A" w:rsidRPr="00A9469A" w:rsidTr="00CC3C5E">
        <w:trPr>
          <w:trHeight w:val="70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1377"/>
              <w:tblOverlap w:val="never"/>
              <w:tblW w:w="9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669"/>
            </w:tblGrid>
            <w:tr w:rsidR="00A9469A" w:rsidRPr="00A9469A" w:rsidTr="00CC3C5E">
              <w:tc>
                <w:tcPr>
                  <w:tcW w:w="966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469A" w:rsidRPr="00A9469A" w:rsidRDefault="00A9469A" w:rsidP="00A9469A"/>
              </w:tc>
            </w:tr>
          </w:tbl>
          <w:p w:rsidR="00A9469A" w:rsidRPr="00A9469A" w:rsidRDefault="00A9469A" w:rsidP="00A9469A">
            <w:pPr>
              <w:rPr>
                <w:b/>
              </w:rPr>
            </w:pPr>
          </w:p>
        </w:tc>
      </w:tr>
      <w:tr w:rsidR="00A9469A" w:rsidRPr="00A9469A" w:rsidTr="00CC3C5E">
        <w:trPr>
          <w:trHeight w:val="510"/>
        </w:trPr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469A" w:rsidRPr="00A9469A" w:rsidRDefault="00A9469A" w:rsidP="00A9469A">
            <w:pPr>
              <w:jc w:val="center"/>
            </w:pPr>
            <w:r w:rsidRPr="00A9469A">
              <w:rPr>
                <w:b/>
                <w:sz w:val="22"/>
                <w:szCs w:val="22"/>
              </w:rPr>
              <w:t>Общая информация о торгах:</w:t>
            </w:r>
          </w:p>
        </w:tc>
      </w:tr>
      <w:tr w:rsidR="00A9469A" w:rsidRPr="00A9469A" w:rsidTr="00CC3C5E"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7027" w:type="dxa"/>
            <w:tcBorders>
              <w:top w:val="single" w:sz="4" w:space="0" w:color="auto"/>
            </w:tcBorders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Аукцион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 xml:space="preserve">Форма подачи предложений о цене 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 xml:space="preserve">Открытая </w:t>
            </w:r>
          </w:p>
        </w:tc>
      </w:tr>
      <w:tr w:rsidR="00A9469A" w:rsidRPr="00A9469A" w:rsidTr="00CC3C5E">
        <w:trPr>
          <w:trHeight w:val="983"/>
        </w:trPr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Условия и сроки платежа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                     </w:t>
            </w:r>
            <w:proofErr w:type="gramStart"/>
            <w:r w:rsidRPr="00A9469A">
              <w:rPr>
                <w:sz w:val="22"/>
                <w:szCs w:val="22"/>
              </w:rPr>
              <w:t>л</w:t>
            </w:r>
            <w:proofErr w:type="gramEnd"/>
            <w:r w:rsidRPr="00A9469A">
              <w:rPr>
                <w:sz w:val="22"/>
                <w:szCs w:val="22"/>
              </w:rPr>
              <w:t>/с 05283006580</w:t>
            </w:r>
          </w:p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БИК 041708001</w:t>
            </w:r>
          </w:p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ИНН 3316420053    КПП 331601001</w:t>
            </w:r>
          </w:p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proofErr w:type="gramStart"/>
            <w:r w:rsidRPr="00A9469A">
              <w:rPr>
                <w:sz w:val="22"/>
                <w:szCs w:val="22"/>
              </w:rPr>
              <w:t>р</w:t>
            </w:r>
            <w:proofErr w:type="gramEnd"/>
            <w:r w:rsidRPr="00A9469A">
              <w:rPr>
                <w:sz w:val="22"/>
                <w:szCs w:val="22"/>
              </w:rPr>
              <w:t>/с 40302810600083000106</w:t>
            </w:r>
          </w:p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ОКАТО 17230501000</w:t>
            </w:r>
          </w:p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</w:rPr>
            </w:pPr>
            <w:r w:rsidRPr="00A9469A">
              <w:rPr>
                <w:sz w:val="22"/>
                <w:szCs w:val="22"/>
              </w:rPr>
              <w:t>ГРКЦ ГУ Банка России по Владимирской  области        г. Владимир</w:t>
            </w:r>
          </w:p>
        </w:tc>
      </w:tr>
      <w:tr w:rsidR="00A9469A" w:rsidRPr="00A9469A" w:rsidTr="00CC3C5E">
        <w:trPr>
          <w:trHeight w:val="1771"/>
        </w:trPr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Срок и порядок внесения задатка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proofErr w:type="gramStart"/>
            <w:r w:rsidRPr="00A9469A">
              <w:rPr>
                <w:sz w:val="22"/>
                <w:szCs w:val="22"/>
              </w:rPr>
              <w:t>л</w:t>
            </w:r>
            <w:proofErr w:type="gramEnd"/>
            <w:r w:rsidRPr="00A9469A">
              <w:rPr>
                <w:sz w:val="22"/>
                <w:szCs w:val="22"/>
              </w:rPr>
              <w:t>/с 05283006580</w:t>
            </w:r>
          </w:p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БИК 041708001</w:t>
            </w:r>
          </w:p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ИНН 3316420053      КПП 331601001</w:t>
            </w:r>
          </w:p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proofErr w:type="gramStart"/>
            <w:r w:rsidRPr="00A9469A">
              <w:rPr>
                <w:sz w:val="22"/>
                <w:szCs w:val="22"/>
              </w:rPr>
              <w:t>р</w:t>
            </w:r>
            <w:proofErr w:type="gramEnd"/>
            <w:r w:rsidRPr="00A9469A">
              <w:rPr>
                <w:sz w:val="22"/>
                <w:szCs w:val="22"/>
              </w:rPr>
              <w:t>/с 40302810600083000106</w:t>
            </w:r>
          </w:p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ОКАТО 17230501000</w:t>
            </w:r>
          </w:p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</w:rPr>
            </w:pPr>
            <w:r w:rsidRPr="00A9469A">
              <w:rPr>
                <w:sz w:val="22"/>
                <w:szCs w:val="22"/>
              </w:rPr>
              <w:t>ГРКЦ ГУ Банка России по Владимирской  области        г. Владимир</w:t>
            </w:r>
          </w:p>
        </w:tc>
      </w:tr>
      <w:tr w:rsidR="00A9469A" w:rsidRPr="00A9469A" w:rsidTr="00CC3C5E">
        <w:trPr>
          <w:trHeight w:val="284"/>
        </w:trPr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Срок возвращения задатка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В течени</w:t>
            </w:r>
            <w:proofErr w:type="gramStart"/>
            <w:r w:rsidRPr="00A9469A">
              <w:rPr>
                <w:sz w:val="22"/>
                <w:szCs w:val="22"/>
              </w:rPr>
              <w:t>и</w:t>
            </w:r>
            <w:proofErr w:type="gramEnd"/>
            <w:r w:rsidRPr="00A9469A">
              <w:rPr>
                <w:sz w:val="22"/>
                <w:szCs w:val="22"/>
              </w:rPr>
              <w:t xml:space="preserve"> 5 дней с даты подведения итогов аукциона</w:t>
            </w:r>
          </w:p>
        </w:tc>
      </w:tr>
      <w:tr w:rsidR="00A9469A" w:rsidRPr="00A9469A" w:rsidTr="00CC3C5E">
        <w:trPr>
          <w:trHeight w:val="737"/>
        </w:trPr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Ограничения участия в приватизации имущества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  <w:ind w:firstLine="72"/>
              <w:jc w:val="both"/>
            </w:pPr>
            <w:r w:rsidRPr="00A9469A">
              <w:rPr>
                <w:sz w:val="22"/>
                <w:szCs w:val="22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A9469A" w:rsidRPr="00A9469A" w:rsidTr="00CC3C5E">
        <w:trPr>
          <w:trHeight w:val="284"/>
        </w:trPr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Дата, место и время начала приема заявок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3474AA" w:rsidP="003474AA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3474AA">
              <w:rPr>
                <w:sz w:val="22"/>
                <w:szCs w:val="22"/>
              </w:rPr>
              <w:t>С 15.01.2013 года с  08-00 час</w:t>
            </w:r>
            <w:proofErr w:type="gramStart"/>
            <w:r w:rsidRPr="003474AA">
              <w:rPr>
                <w:sz w:val="22"/>
                <w:szCs w:val="22"/>
              </w:rPr>
              <w:t>.</w:t>
            </w:r>
            <w:proofErr w:type="gramEnd"/>
            <w:r w:rsidRPr="003474AA">
              <w:rPr>
                <w:sz w:val="22"/>
                <w:szCs w:val="22"/>
              </w:rPr>
              <w:t xml:space="preserve"> </w:t>
            </w:r>
            <w:proofErr w:type="gramStart"/>
            <w:r w:rsidRPr="003474AA">
              <w:rPr>
                <w:sz w:val="22"/>
                <w:szCs w:val="22"/>
              </w:rPr>
              <w:t>д</w:t>
            </w:r>
            <w:proofErr w:type="gramEnd"/>
            <w:r w:rsidRPr="003474AA">
              <w:rPr>
                <w:sz w:val="22"/>
                <w:szCs w:val="22"/>
              </w:rPr>
              <w:t>о 16-30 час.  Здание администрации</w:t>
            </w:r>
            <w:r>
              <w:rPr>
                <w:sz w:val="22"/>
                <w:szCs w:val="22"/>
              </w:rPr>
              <w:t xml:space="preserve"> Киржачского района по адресу: </w:t>
            </w:r>
            <w:proofErr w:type="gramStart"/>
            <w:r w:rsidRPr="003474AA">
              <w:rPr>
                <w:sz w:val="22"/>
                <w:szCs w:val="22"/>
              </w:rPr>
              <w:t>г</w:t>
            </w:r>
            <w:proofErr w:type="gramEnd"/>
            <w:r w:rsidRPr="003474AA">
              <w:rPr>
                <w:sz w:val="22"/>
                <w:szCs w:val="22"/>
              </w:rPr>
              <w:t xml:space="preserve">. Киржач, ул. Серегина, д.7, кабинет </w:t>
            </w:r>
            <w:r w:rsidRPr="003474AA">
              <w:rPr>
                <w:sz w:val="22"/>
                <w:szCs w:val="22"/>
              </w:rPr>
              <w:lastRenderedPageBreak/>
              <w:t>№43</w:t>
            </w:r>
          </w:p>
        </w:tc>
      </w:tr>
      <w:tr w:rsidR="00A9469A" w:rsidRPr="00A9469A" w:rsidTr="00CC3C5E">
        <w:trPr>
          <w:trHeight w:val="284"/>
        </w:trPr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lastRenderedPageBreak/>
              <w:t>Дата, место  и время окончания приема заявок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pPr>
              <w:widowControl w:val="0"/>
              <w:autoSpaceDE w:val="0"/>
              <w:autoSpaceDN w:val="0"/>
              <w:adjustRightInd w:val="0"/>
            </w:pPr>
            <w:r w:rsidRPr="00A9469A">
              <w:rPr>
                <w:sz w:val="22"/>
                <w:szCs w:val="22"/>
              </w:rPr>
              <w:t xml:space="preserve"> </w:t>
            </w:r>
            <w:r w:rsidR="003474AA" w:rsidRPr="003474AA">
              <w:rPr>
                <w:sz w:val="22"/>
                <w:szCs w:val="22"/>
              </w:rPr>
              <w:t xml:space="preserve">11.02.2013 года  до  16-30 час. Здание администрации Киржачского района по адресу: </w:t>
            </w:r>
            <w:proofErr w:type="gramStart"/>
            <w:r w:rsidR="003474AA" w:rsidRPr="003474AA">
              <w:rPr>
                <w:sz w:val="22"/>
                <w:szCs w:val="22"/>
              </w:rPr>
              <w:t>г</w:t>
            </w:r>
            <w:proofErr w:type="gramEnd"/>
            <w:r w:rsidR="003474AA" w:rsidRPr="003474AA">
              <w:rPr>
                <w:sz w:val="22"/>
                <w:szCs w:val="22"/>
              </w:rPr>
              <w:t>. Киржач, ул. Серегина, д.7, кабинет №43</w:t>
            </w:r>
          </w:p>
        </w:tc>
      </w:tr>
      <w:tr w:rsidR="00A9469A" w:rsidRPr="00A9469A" w:rsidTr="00CC3C5E">
        <w:trPr>
          <w:trHeight w:val="284"/>
        </w:trPr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Дата и время определения участников аукциона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3474AA" w:rsidP="00A9469A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3474AA">
              <w:rPr>
                <w:sz w:val="22"/>
                <w:szCs w:val="22"/>
              </w:rPr>
              <w:t xml:space="preserve">12.02.2013 года в 11-00 час.  Здание администрации Киржачского района по адресу: </w:t>
            </w:r>
            <w:proofErr w:type="gramStart"/>
            <w:r w:rsidRPr="003474AA">
              <w:rPr>
                <w:sz w:val="22"/>
                <w:szCs w:val="22"/>
              </w:rPr>
              <w:t>г</w:t>
            </w:r>
            <w:proofErr w:type="gramEnd"/>
            <w:r w:rsidRPr="003474AA">
              <w:rPr>
                <w:sz w:val="22"/>
                <w:szCs w:val="22"/>
              </w:rPr>
              <w:t>. Киржач, ул. Серегина, д.7, кабинет №43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Место, дата, время проведения аукциона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3474AA" w:rsidP="00C160A4">
            <w:pPr>
              <w:jc w:val="both"/>
              <w:rPr>
                <w:b/>
              </w:rPr>
            </w:pPr>
            <w:r w:rsidRPr="003474AA">
              <w:rPr>
                <w:sz w:val="22"/>
                <w:szCs w:val="22"/>
              </w:rPr>
              <w:t xml:space="preserve">Здание администрации Киржачского района по адресу: </w:t>
            </w:r>
            <w:proofErr w:type="gramStart"/>
            <w:r w:rsidRPr="003474AA">
              <w:rPr>
                <w:sz w:val="22"/>
                <w:szCs w:val="22"/>
              </w:rPr>
              <w:t>г</w:t>
            </w:r>
            <w:proofErr w:type="gramEnd"/>
            <w:r w:rsidRPr="003474AA">
              <w:rPr>
                <w:sz w:val="22"/>
                <w:szCs w:val="22"/>
              </w:rPr>
              <w:t>. Киржач, ул. Серегина, д.7, кабинет №43, «27» февраля 2013 г. в 10-00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Порядок определения победителей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pPr>
              <w:jc w:val="both"/>
            </w:pPr>
            <w:r w:rsidRPr="00A9469A">
              <w:rPr>
                <w:sz w:val="22"/>
                <w:szCs w:val="22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Место  и срок подведения итогов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3474AA" w:rsidP="00C160A4">
            <w:pPr>
              <w:ind w:left="75"/>
              <w:rPr>
                <w:b/>
              </w:rPr>
            </w:pPr>
            <w:r w:rsidRPr="003474AA">
              <w:rPr>
                <w:sz w:val="22"/>
                <w:szCs w:val="22"/>
              </w:rPr>
              <w:t xml:space="preserve">Администрация Киржачского района, </w:t>
            </w:r>
            <w:proofErr w:type="gramStart"/>
            <w:r w:rsidRPr="003474AA">
              <w:rPr>
                <w:sz w:val="22"/>
                <w:szCs w:val="22"/>
              </w:rPr>
              <w:t>г</w:t>
            </w:r>
            <w:proofErr w:type="gramEnd"/>
            <w:r w:rsidRPr="003474AA">
              <w:rPr>
                <w:sz w:val="22"/>
                <w:szCs w:val="22"/>
              </w:rPr>
              <w:t>. Киржач, ул. Серегина, д.7, каб.43. «27» февраля 2013 г.</w:t>
            </w:r>
          </w:p>
        </w:tc>
      </w:tr>
      <w:tr w:rsidR="00A9469A" w:rsidRPr="00A9469A" w:rsidTr="00CC3C5E">
        <w:tc>
          <w:tcPr>
            <w:tcW w:w="3605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Срок заключения договора купли-продажи</w:t>
            </w:r>
          </w:p>
        </w:tc>
        <w:tc>
          <w:tcPr>
            <w:tcW w:w="7027" w:type="dxa"/>
            <w:shd w:val="clear" w:color="auto" w:fill="auto"/>
          </w:tcPr>
          <w:p w:rsidR="00A9469A" w:rsidRPr="00A9469A" w:rsidRDefault="00A9469A" w:rsidP="00A9469A">
            <w:pPr>
              <w:ind w:left="75"/>
            </w:pPr>
            <w:r w:rsidRPr="00A9469A">
              <w:rPr>
                <w:sz w:val="22"/>
                <w:szCs w:val="22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A9469A" w:rsidRPr="00A9469A" w:rsidTr="00CC3C5E"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469A" w:rsidRPr="00A9469A" w:rsidRDefault="00A9469A" w:rsidP="00A9469A">
            <w:r w:rsidRPr="00A9469A">
              <w:rPr>
                <w:sz w:val="22"/>
                <w:szCs w:val="22"/>
              </w:rPr>
              <w:t xml:space="preserve">Перечень документов, представляемых для участия в торгах </w:t>
            </w:r>
          </w:p>
          <w:p w:rsidR="00A9469A" w:rsidRPr="00A9469A" w:rsidRDefault="00A9469A" w:rsidP="00A9469A">
            <w:pPr>
              <w:tabs>
                <w:tab w:val="left" w:pos="351"/>
              </w:tabs>
              <w:ind w:left="60"/>
            </w:pPr>
          </w:p>
        </w:tc>
        <w:tc>
          <w:tcPr>
            <w:tcW w:w="70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69A" w:rsidRPr="00A9469A" w:rsidRDefault="00A9469A" w:rsidP="00A9469A">
            <w:pPr>
              <w:ind w:left="107" w:hanging="107"/>
            </w:pPr>
            <w:r w:rsidRPr="00A9469A">
              <w:rPr>
                <w:sz w:val="22"/>
                <w:szCs w:val="22"/>
              </w:rPr>
              <w:t xml:space="preserve">- заявка </w:t>
            </w:r>
            <w:proofErr w:type="gramStart"/>
            <w:r w:rsidRPr="00A9469A">
              <w:rPr>
                <w:sz w:val="22"/>
                <w:szCs w:val="22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A9469A">
              <w:rPr>
                <w:sz w:val="22"/>
                <w:szCs w:val="22"/>
              </w:rPr>
              <w:t xml:space="preserve"> задатка в 2-х экземплярах;</w:t>
            </w:r>
          </w:p>
          <w:p w:rsidR="00A9469A" w:rsidRPr="00A9469A" w:rsidRDefault="00A9469A" w:rsidP="00A9469A">
            <w:pPr>
              <w:ind w:left="107" w:hanging="107"/>
            </w:pPr>
            <w:r w:rsidRPr="00A9469A">
              <w:rPr>
                <w:sz w:val="22"/>
                <w:szCs w:val="22"/>
              </w:rPr>
              <w:t>- опись представленных документов в 2-х экземплярах</w:t>
            </w:r>
          </w:p>
          <w:p w:rsidR="00A9469A" w:rsidRPr="00A9469A" w:rsidRDefault="00A9469A" w:rsidP="00A9469A">
            <w:pPr>
              <w:ind w:left="107" w:hanging="107"/>
            </w:pPr>
            <w:r w:rsidRPr="00A9469A">
              <w:rPr>
                <w:sz w:val="22"/>
                <w:szCs w:val="22"/>
              </w:rPr>
              <w:t>- документы, подтверждающие внесение задатка;</w:t>
            </w:r>
          </w:p>
          <w:p w:rsidR="00A9469A" w:rsidRPr="00A9469A" w:rsidRDefault="00A9469A" w:rsidP="00A9469A">
            <w:pPr>
              <w:ind w:left="107" w:hanging="107"/>
            </w:pPr>
            <w:r w:rsidRPr="00A9469A">
              <w:rPr>
                <w:sz w:val="22"/>
                <w:szCs w:val="22"/>
              </w:rPr>
              <w:t>- представитель претендента представляет  доверенность.</w:t>
            </w:r>
          </w:p>
          <w:p w:rsidR="00A9469A" w:rsidRPr="00A9469A" w:rsidRDefault="00A9469A" w:rsidP="00A9469A">
            <w:pPr>
              <w:rPr>
                <w:i/>
              </w:rPr>
            </w:pPr>
            <w:r w:rsidRPr="00A9469A">
              <w:rPr>
                <w:i/>
                <w:sz w:val="22"/>
                <w:szCs w:val="22"/>
              </w:rPr>
              <w:t>Физические лица дополнительно предоставляют:</w:t>
            </w:r>
          </w:p>
          <w:p w:rsidR="00A9469A" w:rsidRPr="00A9469A" w:rsidRDefault="00A9469A" w:rsidP="00A9469A">
            <w:pPr>
              <w:ind w:left="107" w:hanging="107"/>
            </w:pPr>
            <w:r w:rsidRPr="00A9469A">
              <w:rPr>
                <w:sz w:val="22"/>
                <w:szCs w:val="22"/>
              </w:rPr>
              <w:t>- копии документов, удостоверяющие личность или копии всех его листов;</w:t>
            </w:r>
          </w:p>
          <w:p w:rsidR="00A9469A" w:rsidRPr="00A9469A" w:rsidRDefault="00A9469A" w:rsidP="00A9469A">
            <w:pPr>
              <w:rPr>
                <w:i/>
              </w:rPr>
            </w:pPr>
            <w:r w:rsidRPr="00A9469A">
              <w:rPr>
                <w:i/>
                <w:sz w:val="22"/>
                <w:szCs w:val="22"/>
              </w:rPr>
              <w:t>Юридические лица дополнительно предоставляют:</w:t>
            </w:r>
          </w:p>
          <w:p w:rsidR="00A9469A" w:rsidRPr="00A9469A" w:rsidRDefault="00A9469A" w:rsidP="00A9469A">
            <w:r w:rsidRPr="00A9469A">
              <w:rPr>
                <w:i/>
                <w:sz w:val="22"/>
                <w:szCs w:val="22"/>
              </w:rPr>
              <w:t>-</w:t>
            </w:r>
            <w:r w:rsidRPr="00A9469A">
              <w:rPr>
                <w:sz w:val="22"/>
                <w:szCs w:val="22"/>
              </w:rPr>
              <w:t xml:space="preserve"> заверенные копии учредительных документов;</w:t>
            </w:r>
          </w:p>
          <w:p w:rsidR="00A9469A" w:rsidRPr="00A9469A" w:rsidRDefault="00A9469A" w:rsidP="00A9469A">
            <w:r w:rsidRPr="00A9469A">
              <w:rPr>
                <w:sz w:val="22"/>
                <w:szCs w:val="22"/>
              </w:rPr>
              <w:t xml:space="preserve">- </w:t>
            </w:r>
            <w:proofErr w:type="gramStart"/>
            <w:r w:rsidRPr="00A9469A">
              <w:rPr>
                <w:sz w:val="22"/>
                <w:szCs w:val="22"/>
              </w:rPr>
              <w:t>документ</w:t>
            </w:r>
            <w:proofErr w:type="gramEnd"/>
            <w:r w:rsidRPr="00A9469A">
              <w:rPr>
                <w:sz w:val="22"/>
                <w:szCs w:val="22"/>
              </w:rPr>
              <w:t xml:space="preserve"> содержащий сведения о доле РФ, субъекта РФ или муниципального образования в уставном капитале  юридического лица;</w:t>
            </w:r>
          </w:p>
          <w:p w:rsidR="00A9469A" w:rsidRPr="00A9469A" w:rsidRDefault="00A9469A" w:rsidP="00A9469A">
            <w:r w:rsidRPr="00A9469A">
              <w:rPr>
                <w:sz w:val="22"/>
                <w:szCs w:val="22"/>
              </w:rPr>
              <w:t xml:space="preserve">- </w:t>
            </w:r>
            <w:proofErr w:type="gramStart"/>
            <w:r w:rsidRPr="00A9469A">
              <w:rPr>
                <w:sz w:val="22"/>
                <w:szCs w:val="22"/>
              </w:rPr>
              <w:t>документы</w:t>
            </w:r>
            <w:proofErr w:type="gramEnd"/>
            <w:r w:rsidRPr="00A9469A">
              <w:rPr>
                <w:sz w:val="22"/>
                <w:szCs w:val="22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37569" w:rsidRPr="00A9469A" w:rsidRDefault="00137569" w:rsidP="001C5E92">
      <w:pPr>
        <w:jc w:val="both"/>
        <w:rPr>
          <w:sz w:val="22"/>
          <w:szCs w:val="22"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lastRenderedPageBreak/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lastRenderedPageBreak/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lastRenderedPageBreak/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0453E" w:rsidRPr="003F25E1" w:rsidRDefault="003F25E1" w:rsidP="0010453E">
      <w:pPr>
        <w:pStyle w:val="aa"/>
        <w:rPr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  <w:r w:rsidR="0010453E"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>
        <w:t>нежилого здания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>
        <w:t>28</w:t>
      </w:r>
      <w:r w:rsidRPr="00D7599E">
        <w:t>.0</w:t>
      </w:r>
      <w:r w:rsidR="0041635B">
        <w:t>9</w:t>
      </w:r>
      <w:r w:rsidRPr="00D7599E">
        <w:t>.201</w:t>
      </w:r>
      <w:r>
        <w:t>2</w:t>
      </w:r>
      <w:r w:rsidRPr="00D7599E">
        <w:t xml:space="preserve"> №</w:t>
      </w:r>
      <w:r w:rsidR="0041635B">
        <w:t>21</w:t>
      </w:r>
      <w:r w:rsidRPr="00D7599E">
        <w:t>/</w:t>
      </w:r>
      <w:r>
        <w:t>1</w:t>
      </w:r>
      <w:r w:rsidR="0041635B">
        <w:t>82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7274AE">
        <w:rPr>
          <w:b/>
        </w:rPr>
        <w:t>здания кинотеатра «Труд»</w:t>
      </w:r>
      <w:r w:rsidRPr="00B10888">
        <w:rPr>
          <w:b/>
        </w:rPr>
        <w:t xml:space="preserve"> с земельным участком</w:t>
      </w:r>
      <w:proofErr w:type="gramStart"/>
      <w:r>
        <w:t>,</w:t>
      </w:r>
      <w:r w:rsidRPr="00D7599E">
        <w:rPr>
          <w:b/>
        </w:rPr>
        <w:t>р</w:t>
      </w:r>
      <w:proofErr w:type="gramEnd"/>
      <w:r w:rsidRPr="00D7599E">
        <w:rPr>
          <w:b/>
        </w:rPr>
        <w:t xml:space="preserve">асположенное по адресу: </w:t>
      </w:r>
      <w:proofErr w:type="gramStart"/>
      <w:r>
        <w:rPr>
          <w:b/>
        </w:rPr>
        <w:t>Владимирская область,  г. Киржач</w:t>
      </w:r>
      <w:r w:rsidRPr="00D7599E">
        <w:rPr>
          <w:b/>
        </w:rPr>
        <w:t xml:space="preserve">, </w:t>
      </w:r>
      <w:r>
        <w:rPr>
          <w:b/>
        </w:rPr>
        <w:t xml:space="preserve">ул. </w:t>
      </w:r>
      <w:r w:rsidR="007274AE">
        <w:rPr>
          <w:b/>
        </w:rPr>
        <w:t>Серегина</w:t>
      </w:r>
      <w:r>
        <w:rPr>
          <w:b/>
        </w:rPr>
        <w:t>, д.</w:t>
      </w:r>
      <w:r w:rsidR="007274AE">
        <w:rPr>
          <w:b/>
        </w:rPr>
        <w:t>5</w:t>
      </w:r>
      <w:r w:rsidR="0041635B">
        <w:rPr>
          <w:b/>
        </w:rPr>
        <w:t xml:space="preserve"> </w:t>
      </w:r>
      <w:r w:rsidRPr="00D7599E">
        <w:rPr>
          <w:b/>
        </w:rPr>
        <w:t xml:space="preserve">,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41635B">
        <w:t>здание назначение нежилое</w:t>
      </w:r>
      <w:r>
        <w:t xml:space="preserve">, </w:t>
      </w:r>
      <w:r w:rsidR="0041635B">
        <w:t xml:space="preserve"> </w:t>
      </w:r>
      <w:r>
        <w:t xml:space="preserve">площадь </w:t>
      </w:r>
      <w:r w:rsidR="007274AE">
        <w:t>1073,9</w:t>
      </w:r>
      <w:r w:rsidR="0041635B">
        <w:t xml:space="preserve"> </w:t>
      </w:r>
      <w:r>
        <w:t xml:space="preserve">и земель населенных пунктов с кадастровым номером </w:t>
      </w:r>
      <w:r w:rsidR="0041635B">
        <w:t>_________</w:t>
      </w:r>
      <w:r>
        <w:t xml:space="preserve">, разрешенным использованием: под </w:t>
      </w:r>
      <w:r w:rsidR="0041635B">
        <w:t xml:space="preserve">здание </w:t>
      </w:r>
      <w:r w:rsidR="007274AE">
        <w:t>кинотеатра «Труд»</w:t>
      </w:r>
      <w:r>
        <w:t xml:space="preserve">, площадью </w:t>
      </w:r>
      <w:r w:rsidR="007274AE">
        <w:t xml:space="preserve">2453 </w:t>
      </w:r>
      <w:r>
        <w:t>кв.м.</w:t>
      </w:r>
      <w:r w:rsidRPr="00D7599E">
        <w:t>, далее по тексту - Объект.</w:t>
      </w:r>
      <w:proofErr w:type="gramEnd"/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lastRenderedPageBreak/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3F25E1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7274AE">
        <w:rPr>
          <w:b/>
        </w:rPr>
        <w:t>кинотеатра «Труд»</w:t>
      </w:r>
      <w:r w:rsidR="003F25E1">
        <w:rPr>
          <w:b/>
        </w:rPr>
        <w:t xml:space="preserve"> </w:t>
      </w:r>
      <w:r w:rsidRPr="00B10888">
        <w:rPr>
          <w:b/>
        </w:rPr>
        <w:t>с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>
        <w:rPr>
          <w:b/>
        </w:rPr>
        <w:t>ый</w:t>
      </w:r>
      <w:r w:rsidRPr="00D7599E">
        <w:rPr>
          <w:b/>
        </w:rPr>
        <w:t xml:space="preserve"> по адресу: </w:t>
      </w:r>
      <w:r>
        <w:rPr>
          <w:b/>
        </w:rPr>
        <w:t>Владимирская область,  г. Киржач</w:t>
      </w:r>
      <w:r w:rsidRPr="00D7599E">
        <w:rPr>
          <w:b/>
        </w:rPr>
        <w:t xml:space="preserve">, </w:t>
      </w:r>
      <w:r>
        <w:rPr>
          <w:b/>
        </w:rPr>
        <w:t xml:space="preserve">ул. </w:t>
      </w:r>
      <w:r w:rsidR="007274AE">
        <w:rPr>
          <w:b/>
        </w:rPr>
        <w:t>Серегина</w:t>
      </w:r>
      <w:r>
        <w:rPr>
          <w:b/>
        </w:rPr>
        <w:t>, д.</w:t>
      </w:r>
      <w:r w:rsidR="007274AE">
        <w:rPr>
          <w:b/>
        </w:rPr>
        <w:t>5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25032"/>
    <w:rsid w:val="00A31A3F"/>
    <w:rsid w:val="00A34B42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C14C3C"/>
    <w:rsid w:val="00C160A4"/>
    <w:rsid w:val="00C31336"/>
    <w:rsid w:val="00C3500A"/>
    <w:rsid w:val="00C37AD0"/>
    <w:rsid w:val="00C71EF0"/>
    <w:rsid w:val="00C7211B"/>
    <w:rsid w:val="00C84CF0"/>
    <w:rsid w:val="00C85E6F"/>
    <w:rsid w:val="00CB511E"/>
    <w:rsid w:val="00CC49E4"/>
    <w:rsid w:val="00CD15B0"/>
    <w:rsid w:val="00CD1B33"/>
    <w:rsid w:val="00CD2258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3BD7-44C4-449B-8B1F-384AB289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4166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16</cp:revision>
  <cp:lastPrinted>2013-01-15T05:23:00Z</cp:lastPrinted>
  <dcterms:created xsi:type="dcterms:W3CDTF">2012-10-02T07:54:00Z</dcterms:created>
  <dcterms:modified xsi:type="dcterms:W3CDTF">2013-01-15T05:29:00Z</dcterms:modified>
</cp:coreProperties>
</file>